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44"/>
          <w:szCs w:val="44"/>
          <w:lang w:eastAsia="zh-CN"/>
        </w:rPr>
      </w:pPr>
      <w:r>
        <w:rPr>
          <w:rFonts w:hint="eastAsia"/>
          <w:b/>
          <w:bCs/>
          <w:sz w:val="44"/>
          <w:szCs w:val="44"/>
        </w:rPr>
        <w:t>关于提请法院确定管理人报酬方案的</w:t>
      </w:r>
      <w:r>
        <w:rPr>
          <w:rFonts w:hint="eastAsia"/>
          <w:b/>
          <w:bCs/>
          <w:sz w:val="44"/>
          <w:szCs w:val="44"/>
          <w:lang w:val="en-US" w:eastAsia="zh-CN"/>
        </w:rPr>
        <w:t>报告</w:t>
      </w:r>
    </w:p>
    <w:p>
      <w:pPr>
        <w:jc w:val="center"/>
        <w:rPr>
          <w:b/>
          <w:bCs/>
          <w:sz w:val="44"/>
          <w:szCs w:val="44"/>
        </w:rPr>
      </w:pPr>
    </w:p>
    <w:p>
      <w:pPr>
        <w:rPr>
          <w:b/>
          <w:bCs/>
        </w:rPr>
      </w:pPr>
      <w:r>
        <w:rPr>
          <w:rFonts w:hint="eastAsia"/>
          <w:b/>
          <w:bCs/>
        </w:rPr>
        <w:t>威海市文登区人民法院：</w:t>
      </w:r>
    </w:p>
    <w:p>
      <w:r>
        <w:rPr>
          <w:rFonts w:hint="eastAsia"/>
        </w:rPr>
        <w:t xml:space="preserve">    管理人接受贵院指定后，对山东盛基投资有限责任公司可供清偿的财产价值和管理人工作量进行了预测，并初步确定了《管理人报酬方案》。方案的主要内容如下：</w:t>
      </w:r>
    </w:p>
    <w:p>
      <w:r>
        <w:rPr>
          <w:rFonts w:hint="eastAsia"/>
        </w:rPr>
        <w:t xml:space="preserve">    一、债务人可供清偿的财产情况</w:t>
      </w:r>
    </w:p>
    <w:p>
      <w:pPr>
        <w:widowControl/>
        <w:shd w:val="clear" w:color="auto" w:fill="FFFFFF"/>
        <w:snapToGrid w:val="0"/>
        <w:spacing w:line="600" w:lineRule="exact"/>
        <w:ind w:firstLine="560" w:firstLineChars="200"/>
        <w:rPr>
          <w:rFonts w:hint="eastAsia" w:ascii="宋体" w:hAnsi="宋体" w:eastAsia="宋体"/>
          <w:sz w:val="30"/>
          <w:szCs w:val="30"/>
          <w:lang w:val="en-US" w:eastAsia="zh-CN"/>
        </w:rPr>
      </w:pPr>
      <w:r>
        <w:rPr>
          <w:rFonts w:hint="eastAsia"/>
        </w:rPr>
        <w:t>根据管理人截至目前掌握的财产状况，</w:t>
      </w:r>
      <w:r>
        <w:rPr>
          <w:rFonts w:hint="eastAsia" w:ascii="宋体" w:hAnsi="宋体" w:cs="宋体"/>
          <w:color w:val="000000"/>
          <w:kern w:val="0"/>
          <w:sz w:val="30"/>
          <w:szCs w:val="30"/>
        </w:rPr>
        <w:t>债务人可供清偿的财产包括：</w:t>
      </w:r>
      <w:r>
        <w:rPr>
          <w:rFonts w:hint="eastAsia" w:ascii="宋体" w:hAnsi="宋体"/>
          <w:sz w:val="30"/>
          <w:szCs w:val="30"/>
        </w:rPr>
        <w:t>债务人开发的樱花时尚、醍香湾、建材城、香蜜湖</w:t>
      </w:r>
      <w:r>
        <w:rPr>
          <w:rFonts w:hint="eastAsia" w:ascii="宋体" w:hAnsi="宋体"/>
          <w:sz w:val="30"/>
          <w:szCs w:val="30"/>
          <w:lang w:val="en-US" w:eastAsia="zh-CN"/>
        </w:rPr>
        <w:t>等</w:t>
      </w:r>
      <w:r>
        <w:rPr>
          <w:rFonts w:hint="eastAsia" w:ascii="宋体" w:hAnsi="宋体"/>
          <w:sz w:val="30"/>
          <w:szCs w:val="30"/>
        </w:rPr>
        <w:t>项目</w:t>
      </w:r>
      <w:r>
        <w:rPr>
          <w:rFonts w:hint="eastAsia" w:ascii="宋体" w:hAnsi="宋体"/>
          <w:sz w:val="30"/>
          <w:szCs w:val="30"/>
          <w:lang w:val="en-US" w:eastAsia="zh-CN"/>
        </w:rPr>
        <w:t>的未售资产</w:t>
      </w:r>
      <w:r>
        <w:rPr>
          <w:rFonts w:hint="eastAsia" w:ascii="宋体" w:hAnsi="宋体"/>
          <w:sz w:val="30"/>
          <w:szCs w:val="30"/>
        </w:rPr>
        <w:t>、车辆、货币资金、应收账款等。</w:t>
      </w:r>
      <w:r>
        <w:rPr>
          <w:rFonts w:hint="eastAsia" w:ascii="宋体" w:hAnsi="宋体"/>
          <w:sz w:val="30"/>
          <w:szCs w:val="30"/>
          <w:lang w:val="en-US" w:eastAsia="zh-CN"/>
        </w:rPr>
        <w:t>上述财产中，为有财产担保的债权设定抵押的财产价值为64,134,018.28元。</w:t>
      </w:r>
    </w:p>
    <w:p>
      <w:pPr>
        <w:ind w:firstLine="560" w:firstLineChars="200"/>
      </w:pPr>
    </w:p>
    <w:p>
      <w:pPr>
        <w:numPr>
          <w:ilvl w:val="0"/>
          <w:numId w:val="1"/>
        </w:numPr>
        <w:ind w:firstLine="560" w:firstLineChars="200"/>
      </w:pPr>
      <w:r>
        <w:rPr>
          <w:rFonts w:hint="eastAsia"/>
        </w:rPr>
        <w:t>管理人报酬比例</w:t>
      </w:r>
    </w:p>
    <w:p>
      <w:pPr>
        <w:ind w:firstLine="560" w:firstLineChars="200"/>
      </w:pPr>
      <w:r>
        <w:rPr>
          <w:rFonts w:hint="eastAsia"/>
        </w:rPr>
        <w:t>根据债务人最终可供清偿的财产总额价值和管理人工作量所作的预测，依据最高人民法院《关于审理企业破产案件确定管理人报酬的规定》第二条之规定，管理人请求按以下比例</w:t>
      </w:r>
      <w:r>
        <w:t>分段确定管理人报酬：1、不超过100万元的部分，按1</w:t>
      </w:r>
      <w:r>
        <w:rPr>
          <w:rFonts w:hint="eastAsia"/>
        </w:rPr>
        <w:t>2</w:t>
      </w:r>
      <w:r>
        <w:t>%确定；2、超过100万</w:t>
      </w:r>
      <w:r>
        <w:rPr>
          <w:rFonts w:hint="eastAsia"/>
        </w:rPr>
        <w:t>元</w:t>
      </w:r>
      <w:r>
        <w:t>至500万元的部分，按</w:t>
      </w:r>
      <w:r>
        <w:rPr>
          <w:rFonts w:hint="eastAsia"/>
        </w:rPr>
        <w:t>10</w:t>
      </w:r>
      <w:r>
        <w:t>%确定；3、超过500万</w:t>
      </w:r>
      <w:r>
        <w:rPr>
          <w:rFonts w:hint="eastAsia"/>
        </w:rPr>
        <w:t>元</w:t>
      </w:r>
      <w:r>
        <w:t>至1000万元的部分，按8%确定；4、超过1000万</w:t>
      </w:r>
      <w:r>
        <w:rPr>
          <w:rFonts w:hint="eastAsia"/>
        </w:rPr>
        <w:t>元</w:t>
      </w:r>
      <w:r>
        <w:t>至5000万</w:t>
      </w:r>
      <w:r>
        <w:rPr>
          <w:rFonts w:hint="eastAsia"/>
        </w:rPr>
        <w:t>元</w:t>
      </w:r>
      <w:r>
        <w:t>的部分，按6%确定；5、超过5000万</w:t>
      </w:r>
      <w:r>
        <w:rPr>
          <w:rFonts w:hint="eastAsia"/>
        </w:rPr>
        <w:t>元</w:t>
      </w:r>
      <w:r>
        <w:t>至10000万元的部分，按3%确定；6、超过10000万</w:t>
      </w:r>
      <w:r>
        <w:rPr>
          <w:rFonts w:hint="eastAsia"/>
        </w:rPr>
        <w:t>元</w:t>
      </w:r>
      <w:r>
        <w:t>至50000万元的部分，按1%确定</w:t>
      </w:r>
      <w:r>
        <w:rPr>
          <w:rFonts w:hint="eastAsia"/>
        </w:rPr>
        <w:t>；7、超过50000万元的部分，按0.5%确定</w:t>
      </w:r>
      <w:r>
        <w:t>。</w:t>
      </w:r>
    </w:p>
    <w:p>
      <w:r>
        <w:rPr>
          <w:rFonts w:hint="eastAsia"/>
        </w:rPr>
        <w:t xml:space="preserve">    对有抵押的优先债权范围内的抵押财产按照上述比例分段计算后再按照10%计取管理人报酬。</w:t>
      </w:r>
    </w:p>
    <w:p>
      <w:pPr>
        <w:numPr>
          <w:ilvl w:val="0"/>
          <w:numId w:val="2"/>
        </w:numPr>
        <w:ind w:firstLine="560" w:firstLineChars="200"/>
      </w:pPr>
      <w:r>
        <w:rPr>
          <w:rFonts w:hint="eastAsia"/>
        </w:rPr>
        <w:t>管理人报酬收取时间</w:t>
      </w:r>
    </w:p>
    <w:p>
      <w:pPr>
        <w:ind w:firstLine="560" w:firstLineChars="200"/>
      </w:pPr>
      <w:r>
        <w:rPr>
          <w:rFonts w:hint="eastAsia"/>
        </w:rPr>
        <w:t>第一次债权人会议后支付30%，重整计划被债权人会议表决通过并被贵院批准后支付30%，余款支付按重整计划执行；若重整程序被法院裁定终止，则管理人报酬在贵院裁定宣告破产时支付30%，主要资产变现后支付30%，余款10%在主要债权清偿完毕后付清。</w:t>
      </w:r>
    </w:p>
    <w:p>
      <w:r>
        <w:rPr>
          <w:rFonts w:hint="eastAsia"/>
        </w:rPr>
        <w:t xml:space="preserve">    管理人报酬方案经贵院确定后，贵院可以考虑破产案件的复杂性、管理人的勤勉程度、管理人为重整、和解工作做出的实际贡献、管理人承担的风险和责任、债务人住所地居民可支配收入及物价水平等情况，对管理人报酬进行调整。管理人对报酬方案有意见的，可以与债权人进行协商；债权人会议对管理人报酬方案有异议的，可依法向贵院书面提出具体的请求和理由。</w:t>
      </w:r>
    </w:p>
    <w:p>
      <w:r>
        <w:rPr>
          <w:rFonts w:hint="eastAsia"/>
        </w:rPr>
        <w:t xml:space="preserve">    以上申请如无不当，请贵院予以批准并在第一次债权人会议上公布。</w:t>
      </w:r>
    </w:p>
    <w:p>
      <w:bookmarkStart w:id="0" w:name="_GoBack"/>
      <w:bookmarkEnd w:id="0"/>
    </w:p>
    <w:p/>
    <w:p>
      <w:pPr>
        <w:ind w:firstLine="3360" w:firstLineChars="1200"/>
      </w:pPr>
      <w:r>
        <w:rPr>
          <w:rFonts w:hint="eastAsia"/>
        </w:rPr>
        <w:t>山东盛基投资有限责任公司管理人</w:t>
      </w:r>
    </w:p>
    <w:p>
      <w:pPr>
        <w:ind w:firstLine="3360" w:firstLineChars="1200"/>
      </w:pPr>
      <w:r>
        <w:rPr>
          <w:rFonts w:hint="eastAsia"/>
        </w:rPr>
        <w:t xml:space="preserve">    二〇一九年六月十七日</w:t>
      </w:r>
    </w:p>
    <w:p>
      <w:pPr>
        <w:ind w:firstLine="3360" w:firstLineChars="1200"/>
      </w:pPr>
    </w:p>
    <w:p>
      <w:pPr>
        <w:ind w:firstLine="3360" w:firstLineChars="1200"/>
      </w:pPr>
    </w:p>
    <w:p>
      <w:pPr>
        <w:ind w:firstLine="3360" w:firstLineChars="1200"/>
      </w:pPr>
    </w:p>
    <w:p>
      <w:pPr>
        <w:ind w:firstLine="3360" w:firstLineChars="1200"/>
      </w:pPr>
    </w:p>
    <w:p>
      <w:pPr>
        <w:ind w:firstLine="3360" w:firstLineChars="1200"/>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61961"/>
    <w:multiLevelType w:val="singleLevel"/>
    <w:tmpl w:val="53D61961"/>
    <w:lvl w:ilvl="0" w:tentative="0">
      <w:start w:val="2"/>
      <w:numFmt w:val="chineseCounting"/>
      <w:suff w:val="nothing"/>
      <w:lvlText w:val="%1、"/>
      <w:lvlJc w:val="left"/>
    </w:lvl>
  </w:abstractNum>
  <w:abstractNum w:abstractNumId="1">
    <w:nsid w:val="53D61A85"/>
    <w:multiLevelType w:val="singleLevel"/>
    <w:tmpl w:val="53D61A85"/>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82"/>
    <w:rsid w:val="000E4842"/>
    <w:rsid w:val="0012212A"/>
    <w:rsid w:val="005E47BA"/>
    <w:rsid w:val="00644B53"/>
    <w:rsid w:val="00691AC1"/>
    <w:rsid w:val="00935D38"/>
    <w:rsid w:val="00A47822"/>
    <w:rsid w:val="00B232C9"/>
    <w:rsid w:val="00BE5382"/>
    <w:rsid w:val="00CA388D"/>
    <w:rsid w:val="00CF369E"/>
    <w:rsid w:val="00D57C49"/>
    <w:rsid w:val="00ED678F"/>
    <w:rsid w:val="00F366CB"/>
    <w:rsid w:val="485E12AF"/>
    <w:rsid w:val="5F56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semiHidden/>
    <w:uiPriority w:val="99"/>
    <w:rPr>
      <w:rFonts w:ascii="Times New Roman" w:hAnsi="Times New Roman" w:eastAsia="宋体" w:cs="Times New Roman"/>
      <w:sz w:val="18"/>
      <w:szCs w:val="18"/>
    </w:rPr>
  </w:style>
  <w:style w:type="character" w:customStyle="1" w:styleId="7">
    <w:name w:val="页脚 字符"/>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Words>
  <Characters>771</Characters>
  <Lines>6</Lines>
  <Paragraphs>1</Paragraphs>
  <TotalTime>7</TotalTime>
  <ScaleCrop>false</ScaleCrop>
  <LinksUpToDate>false</LinksUpToDate>
  <CharactersWithSpaces>905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2019-06-21T01:58:00Z</dcterms:created>
  <dc:creator>lenovo</dc:creator>
  <cp:lastModifiedBy>三星</cp:lastModifiedBy>
  <dcterms:modified xsi:type="dcterms:W3CDTF">2019-06-23T06:52:43Z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